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09C6" w:rsidRPr="00527588" w:rsidRDefault="00B609C6" w:rsidP="00B609C6">
      <w:pPr>
        <w:numPr>
          <w:ilvl w:val="0"/>
          <w:numId w:val="1"/>
        </w:numPr>
        <w:spacing w:before="18"/>
        <w:rPr>
          <w:rFonts w:ascii="Arial" w:eastAsia="Arial" w:hAnsi="Arial" w:cs="Arial"/>
          <w:b/>
          <w:spacing w:val="-2"/>
          <w:sz w:val="20"/>
          <w:szCs w:val="20"/>
          <w:lang w:val="en-GB"/>
        </w:rPr>
      </w:pPr>
      <w:bookmarkStart w:id="0" w:name="_GoBack"/>
      <w:bookmarkEnd w:id="0"/>
      <w:r w:rsidRPr="00527588">
        <w:rPr>
          <w:rFonts w:ascii="Arial" w:eastAsia="Arial" w:hAnsi="Arial" w:cs="Arial"/>
          <w:b/>
          <w:spacing w:val="-2"/>
          <w:sz w:val="20"/>
          <w:szCs w:val="20"/>
          <w:lang w:val="en-GB"/>
        </w:rPr>
        <w:t>Guy Pritchard is an Associate Partner and leader of Radford's consulting practice in Europe. Guy has 17 years of compensation consulting experience, including experience in the design of bonus plans, sales incentive plans, equity schemes, and executive and all-employee compensation strategies. He works with both private and public technology and life sciences companies across Europe.</w:t>
      </w:r>
    </w:p>
    <w:p w:rsidR="00B609C6" w:rsidRPr="00527588" w:rsidRDefault="00B609C6" w:rsidP="00B609C6">
      <w:pPr>
        <w:numPr>
          <w:ilvl w:val="0"/>
          <w:numId w:val="1"/>
        </w:numPr>
        <w:spacing w:before="18"/>
        <w:rPr>
          <w:rFonts w:ascii="Arial" w:eastAsia="Arial" w:hAnsi="Arial" w:cs="Arial"/>
          <w:b/>
          <w:spacing w:val="-2"/>
          <w:sz w:val="20"/>
          <w:szCs w:val="20"/>
          <w:lang w:val="en-GB"/>
        </w:rPr>
      </w:pPr>
      <w:r w:rsidRPr="00527588">
        <w:rPr>
          <w:rFonts w:ascii="Arial" w:eastAsia="Arial" w:hAnsi="Arial" w:cs="Arial"/>
          <w:b/>
          <w:spacing w:val="-2"/>
          <w:sz w:val="20"/>
          <w:szCs w:val="20"/>
          <w:lang w:val="en-GB"/>
        </w:rPr>
        <w:t>Prior to joining Radford in 2010, Guy spent 10 years as a consultant within both the Aon Hewitt and Deloitte executive compensation practices. Guy worked with management and remuneration committees on a broad array of executive compensation and incentive design issues.</w:t>
      </w:r>
    </w:p>
    <w:p w:rsidR="00B609C6" w:rsidRPr="00527588" w:rsidRDefault="00B609C6" w:rsidP="00B609C6">
      <w:pPr>
        <w:numPr>
          <w:ilvl w:val="0"/>
          <w:numId w:val="1"/>
        </w:numPr>
        <w:spacing w:before="18"/>
        <w:rPr>
          <w:rFonts w:ascii="Arial" w:eastAsia="Arial" w:hAnsi="Arial" w:cs="Arial"/>
          <w:b/>
          <w:spacing w:val="-2"/>
          <w:sz w:val="20"/>
          <w:szCs w:val="20"/>
          <w:lang w:val="en-GB"/>
        </w:rPr>
      </w:pPr>
      <w:r w:rsidRPr="00527588">
        <w:rPr>
          <w:rFonts w:ascii="Arial" w:eastAsia="Arial" w:hAnsi="Arial" w:cs="Arial"/>
          <w:b/>
          <w:spacing w:val="-2"/>
          <w:sz w:val="20"/>
          <w:szCs w:val="20"/>
          <w:lang w:val="en-GB"/>
        </w:rPr>
        <w:t>Guy has worked with a large number of life sciences companies across Europe, from clinical stage biotechnology companies to larger and commercial bio-pharma companies, consulting on a broad range of reward issues. He also hosts a number of client forums, including the Radford European Life Sciences Exchange Group.</w:t>
      </w:r>
    </w:p>
    <w:p w:rsidR="00B609C6" w:rsidRPr="00527588" w:rsidRDefault="00B609C6" w:rsidP="00B609C6">
      <w:pPr>
        <w:numPr>
          <w:ilvl w:val="0"/>
          <w:numId w:val="1"/>
        </w:numPr>
        <w:spacing w:before="18"/>
        <w:rPr>
          <w:rFonts w:ascii="Arial" w:eastAsia="Arial" w:hAnsi="Arial" w:cs="Arial"/>
          <w:b/>
          <w:spacing w:val="-2"/>
          <w:sz w:val="20"/>
          <w:szCs w:val="20"/>
          <w:lang w:val="en-GB"/>
        </w:rPr>
      </w:pPr>
      <w:r w:rsidRPr="00527588">
        <w:rPr>
          <w:rFonts w:ascii="Arial" w:eastAsia="Arial" w:hAnsi="Arial" w:cs="Arial"/>
          <w:b/>
          <w:spacing w:val="-2"/>
          <w:sz w:val="20"/>
          <w:szCs w:val="20"/>
          <w:lang w:val="en-GB"/>
        </w:rPr>
        <w:t>Guy received his Bachelor of Engineering degree in civil engineering from the University of Warwick. He is a Chartered Tax Adviser and a member of the Association of Taxation Technicians.</w:t>
      </w:r>
      <w:r w:rsidRPr="00527588">
        <w:rPr>
          <w:rFonts w:ascii="Arial" w:eastAsia="Arial" w:hAnsi="Arial" w:cs="Arial"/>
          <w:b/>
          <w:spacing w:val="-2"/>
          <w:sz w:val="20"/>
          <w:szCs w:val="20"/>
        </w:rPr>
        <w:t xml:space="preserve">                                                                                                              </w:t>
      </w:r>
    </w:p>
    <w:p w:rsidR="001F6FA2" w:rsidRDefault="001F6FA2"/>
    <w:sectPr w:rsidR="001F6F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D47F0"/>
    <w:multiLevelType w:val="hybridMultilevel"/>
    <w:tmpl w:val="2B76A364"/>
    <w:lvl w:ilvl="0" w:tplc="9E1C05DC">
      <w:start w:val="1"/>
      <w:numFmt w:val="bullet"/>
      <w:lvlText w:val=""/>
      <w:lvlJc w:val="left"/>
      <w:pPr>
        <w:tabs>
          <w:tab w:val="num" w:pos="720"/>
        </w:tabs>
        <w:ind w:left="720" w:hanging="360"/>
      </w:pPr>
      <w:rPr>
        <w:rFonts w:ascii="Wingdings" w:hAnsi="Wingdings" w:hint="default"/>
      </w:rPr>
    </w:lvl>
    <w:lvl w:ilvl="1" w:tplc="404E5B30" w:tentative="1">
      <w:start w:val="1"/>
      <w:numFmt w:val="bullet"/>
      <w:lvlText w:val=""/>
      <w:lvlJc w:val="left"/>
      <w:pPr>
        <w:tabs>
          <w:tab w:val="num" w:pos="1440"/>
        </w:tabs>
        <w:ind w:left="1440" w:hanging="360"/>
      </w:pPr>
      <w:rPr>
        <w:rFonts w:ascii="Wingdings" w:hAnsi="Wingdings" w:hint="default"/>
      </w:rPr>
    </w:lvl>
    <w:lvl w:ilvl="2" w:tplc="A732CD8E" w:tentative="1">
      <w:start w:val="1"/>
      <w:numFmt w:val="bullet"/>
      <w:lvlText w:val=""/>
      <w:lvlJc w:val="left"/>
      <w:pPr>
        <w:tabs>
          <w:tab w:val="num" w:pos="2160"/>
        </w:tabs>
        <w:ind w:left="2160" w:hanging="360"/>
      </w:pPr>
      <w:rPr>
        <w:rFonts w:ascii="Wingdings" w:hAnsi="Wingdings" w:hint="default"/>
      </w:rPr>
    </w:lvl>
    <w:lvl w:ilvl="3" w:tplc="73F60432" w:tentative="1">
      <w:start w:val="1"/>
      <w:numFmt w:val="bullet"/>
      <w:lvlText w:val=""/>
      <w:lvlJc w:val="left"/>
      <w:pPr>
        <w:tabs>
          <w:tab w:val="num" w:pos="2880"/>
        </w:tabs>
        <w:ind w:left="2880" w:hanging="360"/>
      </w:pPr>
      <w:rPr>
        <w:rFonts w:ascii="Wingdings" w:hAnsi="Wingdings" w:hint="default"/>
      </w:rPr>
    </w:lvl>
    <w:lvl w:ilvl="4" w:tplc="2F1EDE74" w:tentative="1">
      <w:start w:val="1"/>
      <w:numFmt w:val="bullet"/>
      <w:lvlText w:val=""/>
      <w:lvlJc w:val="left"/>
      <w:pPr>
        <w:tabs>
          <w:tab w:val="num" w:pos="3600"/>
        </w:tabs>
        <w:ind w:left="3600" w:hanging="360"/>
      </w:pPr>
      <w:rPr>
        <w:rFonts w:ascii="Wingdings" w:hAnsi="Wingdings" w:hint="default"/>
      </w:rPr>
    </w:lvl>
    <w:lvl w:ilvl="5" w:tplc="840AE30A" w:tentative="1">
      <w:start w:val="1"/>
      <w:numFmt w:val="bullet"/>
      <w:lvlText w:val=""/>
      <w:lvlJc w:val="left"/>
      <w:pPr>
        <w:tabs>
          <w:tab w:val="num" w:pos="4320"/>
        </w:tabs>
        <w:ind w:left="4320" w:hanging="360"/>
      </w:pPr>
      <w:rPr>
        <w:rFonts w:ascii="Wingdings" w:hAnsi="Wingdings" w:hint="default"/>
      </w:rPr>
    </w:lvl>
    <w:lvl w:ilvl="6" w:tplc="857457D2" w:tentative="1">
      <w:start w:val="1"/>
      <w:numFmt w:val="bullet"/>
      <w:lvlText w:val=""/>
      <w:lvlJc w:val="left"/>
      <w:pPr>
        <w:tabs>
          <w:tab w:val="num" w:pos="5040"/>
        </w:tabs>
        <w:ind w:left="5040" w:hanging="360"/>
      </w:pPr>
      <w:rPr>
        <w:rFonts w:ascii="Wingdings" w:hAnsi="Wingdings" w:hint="default"/>
      </w:rPr>
    </w:lvl>
    <w:lvl w:ilvl="7" w:tplc="640CA520" w:tentative="1">
      <w:start w:val="1"/>
      <w:numFmt w:val="bullet"/>
      <w:lvlText w:val=""/>
      <w:lvlJc w:val="left"/>
      <w:pPr>
        <w:tabs>
          <w:tab w:val="num" w:pos="5760"/>
        </w:tabs>
        <w:ind w:left="5760" w:hanging="360"/>
      </w:pPr>
      <w:rPr>
        <w:rFonts w:ascii="Wingdings" w:hAnsi="Wingdings" w:hint="default"/>
      </w:rPr>
    </w:lvl>
    <w:lvl w:ilvl="8" w:tplc="48D0E04E"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E26"/>
    <w:rsid w:val="001F6FA2"/>
    <w:rsid w:val="00335E26"/>
    <w:rsid w:val="00B609C6"/>
    <w:rsid w:val="00CC7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0874A7-CCFD-467A-9A0A-D9B11017C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09C6"/>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1083</Characters>
  <Application>Microsoft Office Word</Application>
  <DocSecurity>0</DocSecurity>
  <Lines>9</Lines>
  <Paragraphs>2</Paragraphs>
  <ScaleCrop>false</ScaleCrop>
  <Company>Pfizer Inc</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Apostol, Andreea Luminita</dc:creator>
  <cp:keywords/>
  <dc:description/>
  <cp:lastModifiedBy>Phil George</cp:lastModifiedBy>
  <cp:revision>2</cp:revision>
  <dcterms:created xsi:type="dcterms:W3CDTF">2017-08-25T14:56:00Z</dcterms:created>
  <dcterms:modified xsi:type="dcterms:W3CDTF">2017-08-25T14:56:00Z</dcterms:modified>
</cp:coreProperties>
</file>